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512"/>
        <w:gridCol w:w="1256"/>
      </w:tblGrid>
      <w:tr w:rsidR="003E7D25" w:rsidRPr="003E7D25" w:rsidTr="003E7D25">
        <w:tc>
          <w:tcPr>
            <w:tcW w:w="1063" w:type="dxa"/>
          </w:tcPr>
          <w:p w:rsidR="003E7D25" w:rsidRPr="003E7D25" w:rsidRDefault="00CA359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</w:pPr>
            <w:bookmarkStart w:id="0" w:name="_GoBack"/>
            <w:r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4.85pt;margin-top:-29.65pt;width:45.8pt;height:50.4pt;z-index:251659264" o:allowincell="f">
                  <v:imagedata r:id="rId7" o:title=""/>
                  <w10:wrap type="topAndBottom"/>
                </v:shape>
                <o:OLEObject Type="Embed" ProgID="Word.Picture.8" ShapeID="_x0000_s1026" DrawAspect="Content" ObjectID="_1486367429" r:id="rId8"/>
              </w:pict>
            </w:r>
            <w:bookmarkEnd w:id="0"/>
          </w:p>
        </w:tc>
        <w:tc>
          <w:tcPr>
            <w:tcW w:w="7512" w:type="dxa"/>
          </w:tcPr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</w:pPr>
            <w:r w:rsidRPr="003E7D25"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  <w:t xml:space="preserve">GOBIERNO DE ENTRE RIOS </w:t>
            </w:r>
          </w:p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</w:pPr>
            <w:r w:rsidRPr="003E7D25"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  <w:t>CONSEJO FEDERAL DE INVERSIONES</w:t>
            </w:r>
          </w:p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0"/>
                <w:lang w:val="es-ES" w:eastAsia="es-ES"/>
              </w:rPr>
            </w:pPr>
            <w:r w:rsidRPr="003E7D25">
              <w:rPr>
                <w:rFonts w:ascii="Tahoma" w:eastAsia="Times New Roman" w:hAnsi="Tahoma" w:cs="Times New Roman"/>
                <w:b/>
                <w:sz w:val="24"/>
                <w:szCs w:val="20"/>
                <w:lang w:val="es-ES" w:eastAsia="es-ES"/>
              </w:rPr>
              <w:t>Ministerio de Gobierno y Justicia</w:t>
            </w:r>
          </w:p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4"/>
                <w:szCs w:val="20"/>
                <w:lang w:val="es-ES" w:eastAsia="es-ES"/>
              </w:rPr>
            </w:pPr>
            <w:r w:rsidRPr="003E7D25">
              <w:rPr>
                <w:rFonts w:ascii="Tahoma" w:eastAsia="Times New Roman" w:hAnsi="Tahoma" w:cs="Times New Roman"/>
                <w:b/>
                <w:sz w:val="24"/>
                <w:szCs w:val="20"/>
                <w:lang w:val="es-ES" w:eastAsia="es-ES"/>
              </w:rPr>
              <w:t>Unidad Operadora Provincial ante CFI</w:t>
            </w:r>
          </w:p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E7D2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 San Martín 918/956, Piso 7, Departamento 7.Paraná Entre Ríos (3100) Tel. (0343) 4316653.</w:t>
            </w:r>
          </w:p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E7D25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E-mail: </w:t>
            </w:r>
            <w:hyperlink r:id="rId9" w:history="1">
              <w:r w:rsidRPr="003E7D2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s-ES" w:eastAsia="es-ES"/>
                </w:rPr>
                <w:t>cfierios@arnetbiz.com.ar</w:t>
              </w:r>
            </w:hyperlink>
          </w:p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sz w:val="10"/>
                <w:szCs w:val="20"/>
                <w:lang w:val="es-ES" w:eastAsia="es-ES"/>
              </w:rPr>
            </w:pPr>
          </w:p>
        </w:tc>
        <w:tc>
          <w:tcPr>
            <w:tcW w:w="1256" w:type="dxa"/>
          </w:tcPr>
          <w:p w:rsidR="003E7D25" w:rsidRPr="003E7D25" w:rsidRDefault="003E7D25" w:rsidP="003E7D2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mallCaps/>
                <w:noProof/>
                <w:color w:val="000080"/>
                <w:sz w:val="32"/>
                <w:szCs w:val="20"/>
                <w:lang w:eastAsia="es-AR"/>
              </w:rPr>
              <w:drawing>
                <wp:inline distT="0" distB="0" distL="0" distR="0" wp14:anchorId="4EC6B6E9" wp14:editId="3863E5C8">
                  <wp:extent cx="70485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25" w:rsidTr="003E7D25">
        <w:tc>
          <w:tcPr>
            <w:tcW w:w="1063" w:type="dxa"/>
            <w:tcBorders>
              <w:bottom w:val="single" w:sz="4" w:space="0" w:color="auto"/>
            </w:tcBorders>
          </w:tcPr>
          <w:p w:rsidR="003E7D25" w:rsidRPr="003E7D25" w:rsidRDefault="003E7D25" w:rsidP="003E7D25">
            <w:pPr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3E7D25" w:rsidRPr="003E7D25" w:rsidRDefault="003E7D25" w:rsidP="003E7D25">
            <w:pPr>
              <w:rPr>
                <w:rFonts w:ascii="Tahoma" w:eastAsia="Times New Roman" w:hAnsi="Tahoma" w:cs="Times New Roman"/>
                <w:b/>
                <w:i/>
                <w:sz w:val="28"/>
                <w:szCs w:val="20"/>
                <w:lang w:val="es-ES" w:eastAsia="es-ES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3E7D25" w:rsidRPr="003E7D25" w:rsidRDefault="003E7D25" w:rsidP="003E7D25">
            <w:pPr>
              <w:rPr>
                <w:rFonts w:ascii="Arial" w:eastAsia="Times New Roman" w:hAnsi="Arial" w:cs="Times New Roman"/>
                <w:b/>
                <w:smallCaps/>
                <w:noProof/>
                <w:color w:val="000080"/>
                <w:sz w:val="32"/>
                <w:szCs w:val="20"/>
                <w:lang w:eastAsia="es-AR"/>
              </w:rPr>
            </w:pPr>
          </w:p>
        </w:tc>
      </w:tr>
    </w:tbl>
    <w:p w:rsidR="003E7D25" w:rsidRDefault="003E7D25" w:rsidP="003E7D25">
      <w:pPr>
        <w:pStyle w:val="Ttulo1"/>
        <w:rPr>
          <w:b/>
        </w:rPr>
      </w:pPr>
      <w:r>
        <w:rPr>
          <w:b/>
        </w:rPr>
        <w:t xml:space="preserve">Características Principales de </w:t>
      </w:r>
      <w:smartTag w:uri="urn:schemas-microsoft-com:office:smarttags" w:element="PersonName">
        <w:smartTagPr>
          <w:attr w:name="ProductID" w:val="la Línea"/>
        </w:smartTagPr>
        <w:r>
          <w:rPr>
            <w:b/>
          </w:rPr>
          <w:t>la Línea</w:t>
        </w:r>
      </w:smartTag>
      <w:r>
        <w:rPr>
          <w:b/>
        </w:rPr>
        <w:t xml:space="preserve"> de </w:t>
      </w:r>
      <w:proofErr w:type="spellStart"/>
      <w:r>
        <w:rPr>
          <w:b/>
        </w:rPr>
        <w:t>Prestamos</w:t>
      </w:r>
      <w:proofErr w:type="spellEnd"/>
      <w:r>
        <w:rPr>
          <w:b/>
        </w:rPr>
        <w:t>: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 xml:space="preserve"> Orientado a Micro, Pequeñas y Medianas Empresas, nuevas o en marcha que registren un valor de ventas totales anuales, en pesos ($) -excluido el Impuesto al Valor Agregado y el impuesto interno que pudiera corresponder-, hasta los siguientes niveles máximos: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985"/>
        <w:gridCol w:w="1842"/>
        <w:gridCol w:w="2410"/>
      </w:tblGrid>
      <w:tr w:rsidR="003E7D25" w:rsidTr="00712724">
        <w:trPr>
          <w:trHeight w:val="328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LINEAS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Agropecuario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Industria/Minería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</w:t>
            </w:r>
            <w:r w:rsidRPr="003E7D25">
              <w:rPr>
                <w:rFonts w:ascii="Tahoma" w:hAnsi="Tahoma"/>
                <w:shd w:val="pct15" w:color="000000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cios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Parámetros adicionales</w:t>
            </w:r>
          </w:p>
        </w:tc>
      </w:tr>
      <w:tr w:rsidR="003E7D25" w:rsidTr="00712724">
        <w:trPr>
          <w:trHeight w:val="282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Microempresa</w:t>
            </w:r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610.000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1.800.000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590.000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P. Neto hasta $675.000</w:t>
            </w:r>
          </w:p>
        </w:tc>
      </w:tr>
      <w:tr w:rsidR="003E7D25" w:rsidTr="00712724">
        <w:trPr>
          <w:trHeight w:val="296"/>
        </w:trPr>
        <w:tc>
          <w:tcPr>
            <w:tcW w:w="17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pct10" w:color="000000" w:fill="FFFFFF"/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PyMEs</w:t>
            </w:r>
            <w:proofErr w:type="spellEnd"/>
          </w:p>
        </w:tc>
        <w:tc>
          <w:tcPr>
            <w:tcW w:w="184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54.000.000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183.000.000</w:t>
            </w:r>
          </w:p>
        </w:tc>
        <w:tc>
          <w:tcPr>
            <w:tcW w:w="184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63.000.000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3E7D25" w:rsidRPr="003E7D25" w:rsidRDefault="003E7D25" w:rsidP="00712724">
            <w:pPr>
              <w:ind w:left="709" w:hanging="709"/>
              <w:jc w:val="center"/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E7D25">
              <w:rPr>
                <w:rFonts w:ascii="Tahoma" w:hAnsi="Tahom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Hasta 100 empleados</w:t>
            </w:r>
          </w:p>
        </w:tc>
      </w:tr>
    </w:tbl>
    <w:p w:rsidR="003E7D25" w:rsidRPr="003E7D25" w:rsidRDefault="003E7D25" w:rsidP="003E7D25">
      <w:pPr>
        <w:numPr>
          <w:ilvl w:val="0"/>
          <w:numId w:val="1"/>
        </w:num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Origen de los fondos:</w:t>
      </w:r>
    </w:p>
    <w:p w:rsidR="003E7D25" w:rsidRDefault="003E7D25" w:rsidP="003E7D25">
      <w:pPr>
        <w:spacing w:before="20" w:after="20"/>
        <w:jc w:val="both"/>
      </w:pPr>
      <w:r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Propios de los Gobiernos Provinciales depositados en el Fondo Federal de Inversiones.</w:t>
      </w:r>
    </w:p>
    <w:p w:rsidR="003E7D25" w:rsidRDefault="003E7D25" w:rsidP="003E7D25">
      <w:pPr>
        <w:numPr>
          <w:ilvl w:val="0"/>
          <w:numId w:val="1"/>
        </w:numPr>
        <w:spacing w:before="240" w:after="20" w:line="240" w:lineRule="auto"/>
        <w:jc w:val="both"/>
        <w:rPr>
          <w:sz w:val="24"/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Destino</w:t>
      </w:r>
      <w:proofErr w:type="gramStart"/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>
        <w:rPr>
          <w:rFonts w:ascii="Tahoma" w:hAnsi="Tahoma" w:cs="Tahoma"/>
          <w:sz w:val="24"/>
        </w:rPr>
        <w:t>Capital</w:t>
      </w:r>
      <w:proofErr w:type="gramEnd"/>
      <w:r>
        <w:rPr>
          <w:rFonts w:ascii="Tahoma" w:hAnsi="Tahoma" w:cs="Tahoma"/>
          <w:sz w:val="24"/>
        </w:rPr>
        <w:t xml:space="preserve"> de Trabajo, Activo Fijo y Preinversión</w:t>
      </w:r>
      <w:r>
        <w:rPr>
          <w:sz w:val="24"/>
        </w:rPr>
        <w:t>.</w:t>
      </w:r>
    </w:p>
    <w:p w:rsidR="00CA3595" w:rsidRDefault="003E7D25" w:rsidP="00CA3595">
      <w:pPr>
        <w:numPr>
          <w:ilvl w:val="0"/>
          <w:numId w:val="1"/>
        </w:num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Montos Máximos:</w:t>
      </w:r>
    </w:p>
    <w:p w:rsidR="003E7D25" w:rsidRPr="00CA3595" w:rsidRDefault="003E7D25" w:rsidP="00CA3595">
      <w:p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59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Microempresas:</w:t>
      </w:r>
      <w:r w:rsidRPr="00CA359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Hasta el 80% de la inversión a realizar.</w:t>
      </w:r>
    </w:p>
    <w:p w:rsidR="003E7D25" w:rsidRPr="003E7D25" w:rsidRDefault="003E7D25" w:rsidP="00CA3595">
      <w:pPr>
        <w:spacing w:line="360" w:lineRule="auto"/>
        <w:ind w:firstLine="709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Me1 -  Patrimonio Neto  hasta $ </w:t>
      </w:r>
      <w:r w:rsidR="00CA3595"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675.000,</w:t>
      </w:r>
      <w:r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monto máximo $ 170.000.    </w:t>
      </w:r>
    </w:p>
    <w:p w:rsidR="00CA3595" w:rsidRDefault="00CA3595" w:rsidP="00CA3595">
      <w:pPr>
        <w:spacing w:line="360" w:lineRule="auto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Pymes</w:t>
      </w:r>
      <w:r w:rsidR="003E7D25" w:rsidRPr="003E7D2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3E7D25"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Hasta el 70% de la inversión a realizar, con un máximo de $ 1.550.000.</w:t>
      </w:r>
      <w:r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7D25" w:rsidRPr="003E7D25" w:rsidRDefault="003E7D25" w:rsidP="00CA3595">
      <w:pPr>
        <w:spacing w:line="360" w:lineRule="auto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7D25" w:rsidRPr="003E7D25" w:rsidRDefault="003E7D25" w:rsidP="003E7D25">
      <w:pPr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7D25" w:rsidRPr="003E7D25" w:rsidRDefault="003E7D25" w:rsidP="003E7D25">
      <w:pPr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Plazos:</w:t>
      </w:r>
    </w:p>
    <w:p w:rsidR="003E7D25" w:rsidRPr="003E7D25" w:rsidRDefault="003E7D25" w:rsidP="003E7D25">
      <w:pPr>
        <w:jc w:val="both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</w:t>
      </w:r>
      <w:r w:rsidRPr="003E7D2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Microempresas:</w:t>
      </w:r>
      <w:r w:rsidRPr="003E7D25">
        <w:rPr>
          <w:rFonts w:ascii="Tahoma" w:hAnsi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Me1 - </w:t>
      </w:r>
      <w:r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Plazo máximo de amortización, 48 meses con un período máximo para pagar la primer cuota de capital de 12 meses.</w:t>
      </w:r>
    </w:p>
    <w:p w:rsidR="003E7D25" w:rsidRPr="003E7D25" w:rsidRDefault="003E7D25" w:rsidP="003E7D25">
      <w:pPr>
        <w:jc w:val="both"/>
        <w:rPr>
          <w:rFonts w:ascii="Tahoma" w:hAnsi="Tahoma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7D25" w:rsidRDefault="003E7D25" w:rsidP="003E7D25">
      <w:pPr>
        <w:jc w:val="both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3E7D2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Me2</w:t>
      </w:r>
      <w:r w:rsidRPr="003E7D25">
        <w:rPr>
          <w:rFonts w:ascii="Tahoma" w:hAnsi="Tahoma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</w:t>
      </w:r>
      <w:r w:rsidRPr="003E7D25">
        <w:rPr>
          <w:rFonts w:ascii="Tahoma" w:hAnsi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E7D2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PyMEs</w:t>
      </w:r>
      <w:proofErr w:type="spellEnd"/>
      <w:r w:rsidRPr="003E7D25">
        <w:rPr>
          <w:rFonts w:ascii="Tahoma" w:hAnsi="Tahoma"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E7D25">
        <w:rPr>
          <w:rFonts w:ascii="Tahoma" w:hAnsi="Tahom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E7D25"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Plazo máximo de amortización, 84 meses con un período máximo para pagar la primer cuota de capital de 24 meses.</w:t>
      </w:r>
    </w:p>
    <w:p w:rsidR="00CA3595" w:rsidRPr="003E7D25" w:rsidRDefault="00CA3595" w:rsidP="003E7D25">
      <w:pPr>
        <w:jc w:val="both"/>
        <w:rPr>
          <w:rFonts w:ascii="Tahoma" w:hAnsi="Tahom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7D25" w:rsidRPr="003E7D25" w:rsidRDefault="003E7D25" w:rsidP="003E7D25">
      <w:pPr>
        <w:numPr>
          <w:ilvl w:val="0"/>
          <w:numId w:val="1"/>
        </w:num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Tasa de interés: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 xml:space="preserve">La tasa es variable, tomándose como base de cálculo de la tasa de interés compensatoria a la equivalente al 50% de la Tasa Activa de Cartera General Nominal Anual en Pesos del Banco de la Nación Argentina para Créditos Agropecuarios, más dos (2) puntos porcentuales. </w:t>
      </w:r>
      <w:r>
        <w:rPr>
          <w:bCs/>
          <w:sz w:val="24"/>
        </w:rPr>
        <w:t>Actualmente esta tasa es del 14,50 %.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 xml:space="preserve">  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 xml:space="preserve">Para créditos hasta $ 70.000 que se otorgan sin exigencia de garantía real, la tasa será 50 % de la tasa de interés vigente, </w:t>
      </w:r>
      <w:r>
        <w:rPr>
          <w:bCs/>
          <w:sz w:val="24"/>
        </w:rPr>
        <w:t>en este caso es de 7,25 % anual.</w:t>
      </w:r>
      <w:r>
        <w:rPr>
          <w:b w:val="0"/>
          <w:sz w:val="24"/>
        </w:rPr>
        <w:t xml:space="preserve"> </w:t>
      </w:r>
    </w:p>
    <w:p w:rsidR="00CA3595" w:rsidRDefault="00CA3595" w:rsidP="003E7D25">
      <w:pPr>
        <w:pStyle w:val="Textoindependiente"/>
        <w:jc w:val="both"/>
        <w:rPr>
          <w:b w:val="0"/>
          <w:sz w:val="24"/>
        </w:rPr>
      </w:pPr>
    </w:p>
    <w:p w:rsidR="003E7D25" w:rsidRPr="003E7D25" w:rsidRDefault="003E7D25" w:rsidP="003E7D25">
      <w:pPr>
        <w:numPr>
          <w:ilvl w:val="0"/>
          <w:numId w:val="1"/>
        </w:num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Garantías:</w:t>
      </w:r>
    </w:p>
    <w:p w:rsidR="003E7D25" w:rsidRDefault="003E7D25" w:rsidP="003E7D25">
      <w:pPr>
        <w:pStyle w:val="Textoindependiente"/>
        <w:jc w:val="both"/>
        <w:rPr>
          <w:bCs/>
          <w:sz w:val="24"/>
        </w:rPr>
      </w:pPr>
      <w:r>
        <w:rPr>
          <w:bCs/>
          <w:sz w:val="24"/>
        </w:rPr>
        <w:t xml:space="preserve">Montos inferiores a $ 70.000, personales a satisfacción del Banco. 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  <w:r>
        <w:rPr>
          <w:bCs/>
          <w:sz w:val="24"/>
        </w:rPr>
        <w:t>Para montos superiores, garantías reales por el 130 % del monto del crédito</w:t>
      </w:r>
      <w:r>
        <w:rPr>
          <w:b w:val="0"/>
          <w:sz w:val="24"/>
        </w:rPr>
        <w:t>.</w:t>
      </w:r>
    </w:p>
    <w:p w:rsidR="00CA3595" w:rsidRDefault="00CA3595" w:rsidP="003E7D25">
      <w:pPr>
        <w:pStyle w:val="Textoindependiente"/>
        <w:jc w:val="both"/>
        <w:rPr>
          <w:b w:val="0"/>
          <w:sz w:val="24"/>
        </w:rPr>
      </w:pPr>
    </w:p>
    <w:p w:rsidR="003E7D25" w:rsidRPr="003E7D25" w:rsidRDefault="003E7D25" w:rsidP="003E7D25">
      <w:pPr>
        <w:numPr>
          <w:ilvl w:val="0"/>
          <w:numId w:val="1"/>
        </w:num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Agente Financiero:</w:t>
      </w:r>
    </w:p>
    <w:p w:rsidR="003E7D25" w:rsidRDefault="003E7D25" w:rsidP="003E7D25">
      <w:pPr>
        <w:pStyle w:val="Textoindependiente"/>
        <w:jc w:val="both"/>
        <w:rPr>
          <w:b w:val="0"/>
          <w:sz w:val="24"/>
        </w:rPr>
      </w:pPr>
      <w:r>
        <w:rPr>
          <w:b w:val="0"/>
          <w:sz w:val="24"/>
        </w:rPr>
        <w:t>Nuevo Banco Entre Ríos S.A.</w:t>
      </w:r>
    </w:p>
    <w:p w:rsidR="00CA3595" w:rsidRDefault="00CA3595" w:rsidP="003E7D25">
      <w:pPr>
        <w:pStyle w:val="Textoindependiente"/>
        <w:jc w:val="both"/>
        <w:rPr>
          <w:b w:val="0"/>
          <w:sz w:val="24"/>
        </w:rPr>
      </w:pPr>
    </w:p>
    <w:p w:rsidR="003E7D25" w:rsidRPr="003E7D25" w:rsidRDefault="003E7D25" w:rsidP="003E7D25">
      <w:pPr>
        <w:numPr>
          <w:ilvl w:val="0"/>
          <w:numId w:val="1"/>
        </w:numPr>
        <w:spacing w:before="240" w:after="20" w:line="240" w:lineRule="auto"/>
        <w:jc w:val="both"/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Sistema de amortización: </w:t>
      </w:r>
    </w:p>
    <w:p w:rsidR="003E7D25" w:rsidRPr="003E7D25" w:rsidRDefault="003E7D25" w:rsidP="003E7D25">
      <w:pPr>
        <w:rPr>
          <w:rFonts w:ascii="Tahoma" w:hAnsi="Tahoma"/>
          <w:snapToGrid w:val="0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7D25">
        <w:rPr>
          <w:rFonts w:ascii="Tahoma" w:hAnsi="Tahoma"/>
          <w:snapToGrid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Alemán, cuota fija de Amortización con interés sobre saldo decreciente.</w:t>
      </w:r>
    </w:p>
    <w:sectPr w:rsidR="003E7D25" w:rsidRPr="003E7D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EB2"/>
    <w:multiLevelType w:val="hybridMultilevel"/>
    <w:tmpl w:val="A8D0B10C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B"/>
    <w:rsid w:val="00276A3A"/>
    <w:rsid w:val="003E7D25"/>
    <w:rsid w:val="005E4C6E"/>
    <w:rsid w:val="007E3662"/>
    <w:rsid w:val="00CA3595"/>
    <w:rsid w:val="00D11D6B"/>
    <w:rsid w:val="00EA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7D25"/>
    <w:pPr>
      <w:keepNext/>
      <w:spacing w:before="20" w:after="20" w:line="240" w:lineRule="auto"/>
      <w:jc w:val="both"/>
      <w:outlineLvl w:val="0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11D6B"/>
  </w:style>
  <w:style w:type="character" w:styleId="Hipervnculo">
    <w:name w:val="Hyperlink"/>
    <w:basedOn w:val="Fuentedeprrafopredeter"/>
    <w:uiPriority w:val="99"/>
    <w:unhideWhenUsed/>
    <w:rsid w:val="00D11D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1D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D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E7D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E7D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E7D25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E7D25"/>
    <w:pPr>
      <w:spacing w:after="0" w:line="240" w:lineRule="auto"/>
      <w:jc w:val="center"/>
    </w:pPr>
    <w:rPr>
      <w:rFonts w:ascii="Tahoma" w:eastAsia="Times New Roman" w:hAnsi="Tahoma" w:cs="Times New Roman"/>
      <w:b/>
      <w:shadow/>
      <w:sz w:val="4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7D25"/>
    <w:rPr>
      <w:rFonts w:ascii="Tahoma" w:eastAsia="Times New Roman" w:hAnsi="Tahoma" w:cs="Times New Roman"/>
      <w:b/>
      <w:shadow/>
      <w:sz w:val="4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E7D25"/>
    <w:pPr>
      <w:keepNext/>
      <w:spacing w:before="20" w:after="20" w:line="240" w:lineRule="auto"/>
      <w:jc w:val="both"/>
      <w:outlineLvl w:val="0"/>
    </w:pPr>
    <w:rPr>
      <w:rFonts w:ascii="Tahoma" w:eastAsia="Times New Roman" w:hAnsi="Tahom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11D6B"/>
  </w:style>
  <w:style w:type="character" w:styleId="Hipervnculo">
    <w:name w:val="Hyperlink"/>
    <w:basedOn w:val="Fuentedeprrafopredeter"/>
    <w:uiPriority w:val="99"/>
    <w:unhideWhenUsed/>
    <w:rsid w:val="00D11D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1D6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D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3E7D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3E7D2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E7D25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E7D25"/>
    <w:pPr>
      <w:spacing w:after="0" w:line="240" w:lineRule="auto"/>
      <w:jc w:val="center"/>
    </w:pPr>
    <w:rPr>
      <w:rFonts w:ascii="Tahoma" w:eastAsia="Times New Roman" w:hAnsi="Tahoma" w:cs="Times New Roman"/>
      <w:b/>
      <w:shadow/>
      <w:sz w:val="4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E7D25"/>
    <w:rPr>
      <w:rFonts w:ascii="Tahoma" w:eastAsia="Times New Roman" w:hAnsi="Tahoma" w:cs="Times New Roman"/>
      <w:b/>
      <w:shadow/>
      <w:sz w:val="4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mailto:cfierios@arnetbiz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1C07-CFF3-4F01-88AA-916AF4D9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2015-02-25T14:04:00Z</dcterms:created>
  <dcterms:modified xsi:type="dcterms:W3CDTF">2015-02-25T14:04:00Z</dcterms:modified>
</cp:coreProperties>
</file>